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87EC" w14:textId="77777777" w:rsidR="00397DD0" w:rsidRDefault="00397DD0" w:rsidP="00397DD0">
      <w:pPr>
        <w:jc w:val="center"/>
        <w:rPr>
          <w:rFonts w:ascii="Britannic Bold" w:eastAsia="Times New Roman" w:hAnsi="Britannic Bold"/>
          <w:color w:val="000000"/>
          <w:sz w:val="52"/>
          <w:szCs w:val="52"/>
        </w:rPr>
      </w:pPr>
    </w:p>
    <w:p w14:paraId="35F56AED" w14:textId="3B6E454E" w:rsidR="00397DD0" w:rsidRPr="00397DD0" w:rsidRDefault="00397DD0" w:rsidP="00397DD0">
      <w:pPr>
        <w:jc w:val="center"/>
        <w:rPr>
          <w:rFonts w:ascii="Britannic Bold" w:eastAsia="Times New Roman" w:hAnsi="Britannic Bold"/>
          <w:color w:val="000000"/>
          <w:sz w:val="52"/>
          <w:szCs w:val="52"/>
        </w:rPr>
      </w:pPr>
      <w:r w:rsidRPr="00397DD0">
        <w:rPr>
          <w:rFonts w:ascii="Britannic Bold" w:eastAsia="Times New Roman" w:hAnsi="Britannic Bold"/>
          <w:color w:val="000000"/>
          <w:sz w:val="52"/>
          <w:szCs w:val="52"/>
        </w:rPr>
        <w:t>Academic Goal</w:t>
      </w:r>
    </w:p>
    <w:p w14:paraId="2313CCFB" w14:textId="5AE163C5" w:rsidR="00397DD0" w:rsidRPr="00397DD0" w:rsidRDefault="00397DD0" w:rsidP="00397DD0">
      <w:pPr>
        <w:pStyle w:val="elementtoproof"/>
        <w:jc w:val="center"/>
        <w:rPr>
          <w:rFonts w:ascii="Britannic Bold" w:hAnsi="Britannic Bold"/>
          <w:color w:val="000000"/>
          <w:sz w:val="52"/>
          <w:szCs w:val="52"/>
        </w:rPr>
      </w:pPr>
      <w:r w:rsidRPr="00397DD0">
        <w:rPr>
          <w:rFonts w:ascii="Britannic Bold" w:hAnsi="Britannic Bold"/>
          <w:color w:val="000000"/>
          <w:sz w:val="52"/>
          <w:szCs w:val="52"/>
        </w:rPr>
        <w:t>By May 2024, 100% of teachers will use data to drive instructional decisions while implementing personalized learning strategies and employing effective Tier I Instruction as measured by multiple walk-throughs.</w:t>
      </w:r>
    </w:p>
    <w:p w14:paraId="13BD53F0" w14:textId="20CE8BC2" w:rsidR="00397DD0" w:rsidRPr="00397DD0" w:rsidRDefault="00397DD0" w:rsidP="00397DD0">
      <w:pPr>
        <w:pStyle w:val="elementtoproof"/>
        <w:jc w:val="center"/>
        <w:rPr>
          <w:rFonts w:ascii="Britannic Bold" w:hAnsi="Britannic Bold"/>
          <w:color w:val="000000"/>
          <w:sz w:val="52"/>
          <w:szCs w:val="52"/>
        </w:rPr>
      </w:pPr>
      <w:r w:rsidRPr="00397DD0">
        <w:rPr>
          <w:rFonts w:ascii="Britannic Bold" w:hAnsi="Britannic Bold"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E5FD805" wp14:editId="60C7AE1F">
            <wp:simplePos x="0" y="0"/>
            <wp:positionH relativeFrom="column">
              <wp:posOffset>3200400</wp:posOffset>
            </wp:positionH>
            <wp:positionV relativeFrom="paragraph">
              <wp:posOffset>285115</wp:posOffset>
            </wp:positionV>
            <wp:extent cx="1841500" cy="1322705"/>
            <wp:effectExtent l="0" t="0" r="6350" b="0"/>
            <wp:wrapThrough wrapText="bothSides">
              <wp:wrapPolygon edited="0">
                <wp:start x="8044" y="0"/>
                <wp:lineTo x="6257" y="933"/>
                <wp:lineTo x="1341" y="4666"/>
                <wp:lineTo x="223" y="9955"/>
                <wp:lineTo x="223" y="11199"/>
                <wp:lineTo x="1341" y="15554"/>
                <wp:lineTo x="1564" y="16799"/>
                <wp:lineTo x="6703" y="20532"/>
                <wp:lineTo x="8268" y="21154"/>
                <wp:lineTo x="13183" y="21154"/>
                <wp:lineTo x="14748" y="20532"/>
                <wp:lineTo x="19887" y="16488"/>
                <wp:lineTo x="21451" y="10577"/>
                <wp:lineTo x="20110" y="4666"/>
                <wp:lineTo x="15194" y="933"/>
                <wp:lineTo x="13407" y="0"/>
                <wp:lineTo x="804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C8623" w14:textId="19F68164" w:rsidR="00397DD0" w:rsidRDefault="00397DD0" w:rsidP="00397DD0">
      <w:pPr>
        <w:pStyle w:val="elementtoproof"/>
        <w:jc w:val="center"/>
        <w:rPr>
          <w:rFonts w:ascii="Britannic Bold" w:hAnsi="Britannic Bold"/>
          <w:color w:val="000000"/>
          <w:sz w:val="52"/>
          <w:szCs w:val="52"/>
        </w:rPr>
      </w:pPr>
    </w:p>
    <w:p w14:paraId="3BDEE75E" w14:textId="7AAB95A4" w:rsidR="00397DD0" w:rsidRPr="00397DD0" w:rsidRDefault="00397DD0" w:rsidP="00397DD0">
      <w:pPr>
        <w:pStyle w:val="elementtoproof"/>
        <w:jc w:val="center"/>
        <w:rPr>
          <w:rFonts w:ascii="Britannic Bold" w:hAnsi="Britannic Bold"/>
          <w:color w:val="000000"/>
          <w:sz w:val="52"/>
          <w:szCs w:val="52"/>
        </w:rPr>
      </w:pPr>
    </w:p>
    <w:p w14:paraId="49AB8C94" w14:textId="77777777" w:rsidR="00397DD0" w:rsidRPr="00397DD0" w:rsidRDefault="00397DD0" w:rsidP="00397DD0">
      <w:pPr>
        <w:pStyle w:val="elementtoproof"/>
        <w:jc w:val="center"/>
        <w:rPr>
          <w:rFonts w:ascii="Britannic Bold" w:hAnsi="Britannic Bold"/>
          <w:sz w:val="52"/>
          <w:szCs w:val="52"/>
        </w:rPr>
      </w:pPr>
    </w:p>
    <w:p w14:paraId="4B5949BA" w14:textId="77777777" w:rsidR="00397DD0" w:rsidRDefault="00397DD0" w:rsidP="00397DD0">
      <w:pPr>
        <w:pStyle w:val="elementtoproof"/>
        <w:jc w:val="center"/>
        <w:rPr>
          <w:rFonts w:ascii="Britannic Bold" w:hAnsi="Britannic Bold"/>
          <w:color w:val="000000"/>
          <w:sz w:val="52"/>
          <w:szCs w:val="52"/>
        </w:rPr>
      </w:pPr>
    </w:p>
    <w:p w14:paraId="553CE9F9" w14:textId="412F36E2" w:rsidR="00397DD0" w:rsidRPr="00397DD0" w:rsidRDefault="00397DD0" w:rsidP="00397DD0">
      <w:pPr>
        <w:pStyle w:val="elementtoproof"/>
        <w:jc w:val="center"/>
        <w:rPr>
          <w:rFonts w:ascii="Britannic Bold" w:hAnsi="Britannic Bold"/>
          <w:sz w:val="52"/>
          <w:szCs w:val="52"/>
        </w:rPr>
      </w:pPr>
      <w:r w:rsidRPr="00397DD0">
        <w:rPr>
          <w:rFonts w:ascii="Britannic Bold" w:hAnsi="Britannic Bold"/>
          <w:color w:val="000000"/>
          <w:sz w:val="52"/>
          <w:szCs w:val="52"/>
        </w:rPr>
        <w:t>Climate Goal</w:t>
      </w:r>
    </w:p>
    <w:p w14:paraId="1CE8D7FD" w14:textId="221C2042" w:rsidR="00397DD0" w:rsidRPr="00397DD0" w:rsidRDefault="00397DD0" w:rsidP="00397DD0">
      <w:pPr>
        <w:pStyle w:val="elementtoproof"/>
        <w:jc w:val="center"/>
        <w:rPr>
          <w:rFonts w:ascii="Britannic Bold" w:hAnsi="Britannic Bold"/>
          <w:sz w:val="52"/>
          <w:szCs w:val="52"/>
        </w:rPr>
      </w:pPr>
      <w:r w:rsidRPr="00397DD0">
        <w:rPr>
          <w:rFonts w:ascii="Britannic Bold" w:hAnsi="Britannic Bold"/>
          <w:color w:val="000000"/>
          <w:sz w:val="52"/>
          <w:szCs w:val="52"/>
        </w:rPr>
        <w:t>May 2024, 100% of teachers will demonstrate collective efficacy by implementing the shared vision of the engagement of teachers &amp; paras through individual teacher growth as measured by multiple walk-throughs.</w:t>
      </w:r>
    </w:p>
    <w:p w14:paraId="453E3883" w14:textId="77777777" w:rsidR="00BB4159" w:rsidRDefault="00BB4159" w:rsidP="00397DD0">
      <w:pPr>
        <w:jc w:val="center"/>
      </w:pPr>
    </w:p>
    <w:sectPr w:rsidR="00BB4159" w:rsidSect="00397DD0">
      <w:pgSz w:w="15840" w:h="12240" w:orient="landscape"/>
      <w:pgMar w:top="1440" w:right="1440" w:bottom="1440" w:left="1440" w:header="720" w:footer="720" w:gutter="0"/>
      <w:pgBorders w:offsetFrom="page">
        <w:top w:val="dotDash" w:sz="36" w:space="24" w:color="00B0F0"/>
        <w:left w:val="dotDash" w:sz="36" w:space="24" w:color="00B0F0"/>
        <w:bottom w:val="dotDash" w:sz="36" w:space="24" w:color="00B0F0"/>
        <w:right w:val="dotDash" w:sz="36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D0"/>
    <w:rsid w:val="00122866"/>
    <w:rsid w:val="00397DD0"/>
    <w:rsid w:val="007701D2"/>
    <w:rsid w:val="00B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202"/>
  <w15:chartTrackingRefBased/>
  <w15:docId w15:val="{26B6CBA1-6CEE-4DB2-9407-C7CE095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D0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39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Jody A</dc:creator>
  <cp:keywords/>
  <dc:description/>
  <cp:lastModifiedBy>Russell Jody A</cp:lastModifiedBy>
  <cp:revision>1</cp:revision>
  <dcterms:created xsi:type="dcterms:W3CDTF">2023-12-13T18:39:00Z</dcterms:created>
  <dcterms:modified xsi:type="dcterms:W3CDTF">2023-12-13T18:46:00Z</dcterms:modified>
</cp:coreProperties>
</file>