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40" w:rsidRPr="00C13CA5" w:rsidRDefault="00675C40" w:rsidP="00675C40">
      <w:pPr>
        <w:jc w:val="center"/>
        <w:rPr>
          <w:sz w:val="19"/>
          <w:szCs w:val="19"/>
        </w:rPr>
      </w:pPr>
      <w:bookmarkStart w:id="0" w:name="_GoBack"/>
      <w:bookmarkEnd w:id="0"/>
      <w:r>
        <w:rPr>
          <w:b/>
          <w:sz w:val="23"/>
          <w:szCs w:val="23"/>
        </w:rPr>
        <w:t>PARENT NOTIFICATION LETTER</w:t>
      </w:r>
    </w:p>
    <w:p w:rsidR="00675C40" w:rsidRDefault="00675C40" w:rsidP="00675C40">
      <w:pPr>
        <w:ind w:right="-360"/>
        <w:jc w:val="center"/>
        <w:rPr>
          <w:b/>
          <w:i/>
        </w:rPr>
      </w:pPr>
    </w:p>
    <w:p w:rsidR="00675C40" w:rsidRPr="00E500E3" w:rsidRDefault="00B97376" w:rsidP="00675C40">
      <w:pPr>
        <w:ind w:right="-360"/>
        <w:jc w:val="center"/>
        <w:rPr>
          <w:b/>
          <w:i/>
        </w:rPr>
      </w:pPr>
      <w:r>
        <w:rPr>
          <w:b/>
          <w:i/>
        </w:rPr>
        <w:t>July 29, 2016</w:t>
      </w:r>
    </w:p>
    <w:p w:rsidR="00675C40" w:rsidRDefault="00675C40" w:rsidP="00675C40"/>
    <w:p w:rsidR="00675C40" w:rsidRDefault="00675C40" w:rsidP="00675C40">
      <w:pPr>
        <w:rPr>
          <w:sz w:val="22"/>
          <w:szCs w:val="22"/>
        </w:rPr>
      </w:pPr>
    </w:p>
    <w:p w:rsidR="00675C40" w:rsidRDefault="00675C40" w:rsidP="00675C40">
      <w:pPr>
        <w:rPr>
          <w:sz w:val="22"/>
          <w:szCs w:val="22"/>
        </w:rPr>
      </w:pPr>
      <w:r w:rsidRPr="002D1264">
        <w:rPr>
          <w:sz w:val="22"/>
          <w:szCs w:val="22"/>
        </w:rPr>
        <w:t>Dear Parent(s)/Guardian(s):</w:t>
      </w:r>
    </w:p>
    <w:p w:rsidR="00675C40" w:rsidRDefault="00675C40" w:rsidP="00675C40">
      <w:pPr>
        <w:rPr>
          <w:sz w:val="22"/>
          <w:szCs w:val="22"/>
        </w:rPr>
      </w:pPr>
    </w:p>
    <w:p w:rsidR="00675C40" w:rsidRPr="00757FB0" w:rsidRDefault="00675C40" w:rsidP="00675C40">
      <w:pPr>
        <w:rPr>
          <w:sz w:val="22"/>
          <w:szCs w:val="22"/>
        </w:rPr>
      </w:pPr>
      <w:r w:rsidRPr="00757FB0">
        <w:rPr>
          <w:color w:val="000000"/>
          <w:sz w:val="22"/>
          <w:szCs w:val="22"/>
        </w:rPr>
        <w:t xml:space="preserve">This letter is to inform you </w:t>
      </w:r>
      <w:r w:rsidRPr="00757FB0">
        <w:rPr>
          <w:sz w:val="22"/>
          <w:szCs w:val="22"/>
        </w:rPr>
        <w:t>that</w:t>
      </w:r>
      <w:r>
        <w:rPr>
          <w:sz w:val="22"/>
          <w:szCs w:val="22"/>
        </w:rPr>
        <w:t xml:space="preserve"> </w:t>
      </w:r>
      <w:r>
        <w:rPr>
          <w:b/>
          <w:sz w:val="22"/>
          <w:szCs w:val="22"/>
          <w:u w:val="single"/>
        </w:rPr>
        <w:t>William H.</w:t>
      </w:r>
      <w:r w:rsidR="005979DA">
        <w:rPr>
          <w:b/>
          <w:sz w:val="22"/>
          <w:szCs w:val="22"/>
          <w:u w:val="single"/>
        </w:rPr>
        <w:t xml:space="preserve"> Spencer</w:t>
      </w:r>
      <w:r w:rsidR="00D559C9">
        <w:rPr>
          <w:b/>
          <w:sz w:val="22"/>
          <w:szCs w:val="22"/>
          <w:u w:val="single"/>
        </w:rPr>
        <w:t xml:space="preserve"> </w:t>
      </w:r>
      <w:r>
        <w:rPr>
          <w:b/>
          <w:sz w:val="22"/>
          <w:szCs w:val="22"/>
          <w:u w:val="single"/>
        </w:rPr>
        <w:t xml:space="preserve">High School </w:t>
      </w:r>
      <w:r w:rsidRPr="00757FB0">
        <w:rPr>
          <w:sz w:val="22"/>
          <w:szCs w:val="22"/>
        </w:rPr>
        <w:t>has been identified as a:</w:t>
      </w:r>
    </w:p>
    <w:p w:rsidR="00675C40" w:rsidRPr="00757FB0" w:rsidRDefault="00675C40" w:rsidP="00675C40">
      <w:pPr>
        <w:rPr>
          <w:sz w:val="22"/>
          <w:szCs w:val="22"/>
        </w:rPr>
      </w:pPr>
    </w:p>
    <w:p w:rsidR="00675C40" w:rsidRPr="00757FB0" w:rsidRDefault="00675C40" w:rsidP="00675C40">
      <w:pPr>
        <w:tabs>
          <w:tab w:val="left" w:pos="720"/>
          <w:tab w:val="left" w:pos="3600"/>
          <w:tab w:val="left" w:pos="6480"/>
        </w:tabs>
        <w:jc w:val="center"/>
        <w:rPr>
          <w:sz w:val="22"/>
          <w:szCs w:val="22"/>
        </w:rPr>
      </w:pPr>
      <w:r w:rsidRPr="002A2260">
        <w:rPr>
          <w:rFonts w:ascii="Wingdings 2" w:hAnsi="Wingdings 2"/>
          <w:b/>
          <w:sz w:val="22"/>
          <w:szCs w:val="22"/>
        </w:rPr>
        <w:t></w:t>
      </w:r>
      <w:r w:rsidRPr="002A2260">
        <w:rPr>
          <w:b/>
          <w:sz w:val="22"/>
          <w:szCs w:val="22"/>
        </w:rPr>
        <w:t>Priority School</w:t>
      </w:r>
      <w:r w:rsidRPr="00757FB0">
        <w:rPr>
          <w:sz w:val="22"/>
          <w:szCs w:val="22"/>
        </w:rPr>
        <w:tab/>
      </w:r>
      <w:r w:rsidRPr="002A2260">
        <w:rPr>
          <w:sz w:val="22"/>
          <w:szCs w:val="22"/>
        </w:rPr>
        <w:t>Focus School</w:t>
      </w:r>
      <w:r>
        <w:rPr>
          <w:sz w:val="22"/>
          <w:szCs w:val="22"/>
        </w:rPr>
        <w:tab/>
        <w:t>Reward</w:t>
      </w:r>
      <w:r w:rsidRPr="00C76DB1">
        <w:rPr>
          <w:sz w:val="22"/>
          <w:szCs w:val="22"/>
        </w:rPr>
        <w:t xml:space="preserve"> School</w:t>
      </w:r>
    </w:p>
    <w:p w:rsidR="00703023" w:rsidRPr="005D1E1E" w:rsidRDefault="00703023" w:rsidP="00703023"/>
    <w:p w:rsidR="00703023" w:rsidRPr="00675C40" w:rsidRDefault="00703023" w:rsidP="00703023">
      <w:pPr>
        <w:rPr>
          <w:sz w:val="22"/>
          <w:szCs w:val="22"/>
        </w:rPr>
      </w:pPr>
      <w:r w:rsidRPr="00675C40">
        <w:rPr>
          <w:sz w:val="22"/>
          <w:szCs w:val="22"/>
        </w:rPr>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rsidR="00703023" w:rsidRPr="00675C40" w:rsidRDefault="00703023" w:rsidP="00703023">
      <w:pPr>
        <w:rPr>
          <w:sz w:val="22"/>
          <w:szCs w:val="22"/>
        </w:rPr>
      </w:pPr>
    </w:p>
    <w:p w:rsidR="00703023" w:rsidRPr="00675C40" w:rsidRDefault="00703023" w:rsidP="00703023">
      <w:pPr>
        <w:rPr>
          <w:sz w:val="22"/>
          <w:szCs w:val="22"/>
        </w:rPr>
      </w:pPr>
      <w:r w:rsidRPr="00675C40">
        <w:rPr>
          <w:sz w:val="22"/>
          <w:szCs w:val="22"/>
        </w:rPr>
        <w:t xml:space="preserve">Under </w:t>
      </w:r>
      <w:r w:rsidR="002778F8" w:rsidRPr="00675C40">
        <w:rPr>
          <w:sz w:val="22"/>
          <w:szCs w:val="22"/>
        </w:rPr>
        <w:t xml:space="preserve">the 2015 renewal of </w:t>
      </w:r>
      <w:r w:rsidRPr="00675C40">
        <w:rPr>
          <w:sz w:val="22"/>
          <w:szCs w:val="22"/>
        </w:rPr>
        <w:t xml:space="preserve">Georgia’s ESEA Flexibility Waiver, certain Title I schools </w:t>
      </w:r>
      <w:r w:rsidR="002778F8" w:rsidRPr="00675C40">
        <w:rPr>
          <w:sz w:val="22"/>
          <w:szCs w:val="22"/>
        </w:rPr>
        <w:t>continue to be</w:t>
      </w:r>
      <w:r w:rsidRPr="00675C40">
        <w:rPr>
          <w:sz w:val="22"/>
          <w:szCs w:val="22"/>
        </w:rPr>
        <w:t xml:space="preserve"> designated as Reward, Priority, </w:t>
      </w:r>
      <w:r w:rsidR="002778F8" w:rsidRPr="00675C40">
        <w:rPr>
          <w:sz w:val="22"/>
          <w:szCs w:val="22"/>
        </w:rPr>
        <w:t xml:space="preserve">or </w:t>
      </w:r>
      <w:r w:rsidRPr="00675C40">
        <w:rPr>
          <w:sz w:val="22"/>
          <w:szCs w:val="22"/>
        </w:rPr>
        <w:t>Focus</w:t>
      </w:r>
      <w:r w:rsidR="002778F8" w:rsidRPr="00675C40">
        <w:rPr>
          <w:sz w:val="22"/>
          <w:szCs w:val="22"/>
        </w:rPr>
        <w:t xml:space="preserve"> S</w:t>
      </w:r>
      <w:r w:rsidRPr="00675C40">
        <w:rPr>
          <w:sz w:val="22"/>
          <w:szCs w:val="22"/>
        </w:rPr>
        <w:t>chools.  The Waiver allow</w:t>
      </w:r>
      <w:r w:rsidR="00097ED3" w:rsidRPr="00675C40">
        <w:rPr>
          <w:sz w:val="22"/>
          <w:szCs w:val="22"/>
        </w:rPr>
        <w:t>s</w:t>
      </w:r>
      <w:r w:rsidRPr="00675C40">
        <w:rPr>
          <w:sz w:val="22"/>
          <w:szCs w:val="22"/>
        </w:rPr>
        <w:t xml:space="preserve"> the use of the College and Career </w:t>
      </w:r>
      <w:r w:rsidR="00564A29" w:rsidRPr="00675C40">
        <w:rPr>
          <w:sz w:val="22"/>
          <w:szCs w:val="22"/>
        </w:rPr>
        <w:t>Ready</w:t>
      </w:r>
      <w:r w:rsidRPr="00675C40">
        <w:rPr>
          <w:sz w:val="22"/>
          <w:szCs w:val="22"/>
        </w:rPr>
        <w:t xml:space="preserve"> Performance Index (CCRPI)</w:t>
      </w:r>
      <w:r w:rsidR="002778F8" w:rsidRPr="00675C40">
        <w:rPr>
          <w:sz w:val="22"/>
          <w:szCs w:val="22"/>
        </w:rPr>
        <w:t xml:space="preserve"> as the</w:t>
      </w:r>
      <w:r w:rsidRPr="00675C40">
        <w:rPr>
          <w:sz w:val="22"/>
          <w:szCs w:val="22"/>
        </w:rPr>
        <w:t xml:space="preserve"> comprehensive report card for all schools in Georgia</w:t>
      </w:r>
      <w:r w:rsidR="002778F8" w:rsidRPr="00675C40">
        <w:rPr>
          <w:sz w:val="22"/>
          <w:szCs w:val="22"/>
        </w:rPr>
        <w:t>, providing</w:t>
      </w:r>
      <w:r w:rsidRPr="00675C40">
        <w:rPr>
          <w:sz w:val="22"/>
          <w:szCs w:val="22"/>
        </w:rPr>
        <w:t xml:space="preserve"> </w:t>
      </w:r>
      <w:r w:rsidR="006D10FB" w:rsidRPr="00675C40">
        <w:rPr>
          <w:sz w:val="22"/>
          <w:szCs w:val="22"/>
        </w:rPr>
        <w:t>a score between 0-</w:t>
      </w:r>
      <w:r w:rsidRPr="00675C40">
        <w:rPr>
          <w:sz w:val="22"/>
          <w:szCs w:val="22"/>
        </w:rPr>
        <w:t>100 for each schoo</w:t>
      </w:r>
      <w:r w:rsidR="002778F8" w:rsidRPr="00675C40">
        <w:rPr>
          <w:sz w:val="22"/>
          <w:szCs w:val="22"/>
        </w:rPr>
        <w:t>l</w:t>
      </w:r>
      <w:r w:rsidR="000E13CE" w:rsidRPr="00675C40">
        <w:rPr>
          <w:sz w:val="22"/>
          <w:szCs w:val="22"/>
        </w:rPr>
        <w:t>—</w:t>
      </w:r>
      <w:r w:rsidR="002778F8" w:rsidRPr="00675C40">
        <w:rPr>
          <w:sz w:val="22"/>
          <w:szCs w:val="22"/>
        </w:rPr>
        <w:t>m</w:t>
      </w:r>
      <w:r w:rsidRPr="00675C40">
        <w:rPr>
          <w:sz w:val="22"/>
          <w:szCs w:val="22"/>
        </w:rPr>
        <w:t>easur</w:t>
      </w:r>
      <w:r w:rsidR="002778F8" w:rsidRPr="00675C40">
        <w:rPr>
          <w:sz w:val="22"/>
          <w:szCs w:val="22"/>
        </w:rPr>
        <w:t>ing</w:t>
      </w:r>
      <w:r w:rsidRPr="00675C40">
        <w:rPr>
          <w:sz w:val="22"/>
          <w:szCs w:val="22"/>
        </w:rPr>
        <w:t xml:space="preserve"> how well the school is doing in preparing its students to be successful in college and/or a career.</w:t>
      </w:r>
    </w:p>
    <w:p w:rsidR="00675C40" w:rsidRDefault="00675C40" w:rsidP="00703023"/>
    <w:tbl>
      <w:tblPr>
        <w:tblStyle w:val="TableGrid"/>
        <w:tblW w:w="0" w:type="auto"/>
        <w:tblInd w:w="918" w:type="dxa"/>
        <w:tblLook w:val="04A0" w:firstRow="1" w:lastRow="0" w:firstColumn="1" w:lastColumn="0" w:noHBand="0" w:noVBand="1"/>
      </w:tblPr>
      <w:tblGrid>
        <w:gridCol w:w="931"/>
        <w:gridCol w:w="936"/>
        <w:gridCol w:w="684"/>
        <w:gridCol w:w="720"/>
        <w:gridCol w:w="1067"/>
        <w:gridCol w:w="1003"/>
        <w:gridCol w:w="990"/>
        <w:gridCol w:w="1751"/>
      </w:tblGrid>
      <w:tr w:rsidR="00675C40" w:rsidRPr="00C510BB" w:rsidTr="00675C40">
        <w:tc>
          <w:tcPr>
            <w:tcW w:w="8082" w:type="dxa"/>
            <w:gridSpan w:val="8"/>
            <w:shd w:val="clear" w:color="auto" w:fill="FFFFFF" w:themeFill="background1"/>
          </w:tcPr>
          <w:p w:rsidR="00675C40" w:rsidRPr="00C510BB" w:rsidRDefault="00675C40" w:rsidP="001D53F6">
            <w:pPr>
              <w:widowControl/>
              <w:jc w:val="center"/>
              <w:rPr>
                <w:rFonts w:eastAsia="Calibri"/>
                <w:b/>
                <w:sz w:val="20"/>
                <w:szCs w:val="20"/>
              </w:rPr>
            </w:pPr>
            <w:r>
              <w:rPr>
                <w:rFonts w:eastAsia="Calibri"/>
                <w:b/>
                <w:sz w:val="20"/>
                <w:szCs w:val="20"/>
              </w:rPr>
              <w:t>William H. Spencer High School</w:t>
            </w:r>
          </w:p>
          <w:p w:rsidR="00675C40" w:rsidRPr="00C510BB" w:rsidRDefault="00675C40" w:rsidP="001D53F6">
            <w:pPr>
              <w:widowControl/>
              <w:jc w:val="center"/>
              <w:rPr>
                <w:rFonts w:eastAsia="Calibri"/>
                <w:b/>
                <w:sz w:val="20"/>
                <w:szCs w:val="20"/>
              </w:rPr>
            </w:pPr>
            <w:r w:rsidRPr="00C510BB">
              <w:rPr>
                <w:rFonts w:eastAsia="Calibri"/>
                <w:b/>
                <w:sz w:val="20"/>
                <w:szCs w:val="20"/>
              </w:rPr>
              <w:t>College and Career Readiness Performance Index (CCRPI) Comparison</w:t>
            </w:r>
          </w:p>
        </w:tc>
      </w:tr>
      <w:tr w:rsidR="00675C40" w:rsidRPr="00C510BB" w:rsidTr="00675C40">
        <w:trPr>
          <w:cantSplit/>
          <w:trHeight w:val="1587"/>
        </w:trPr>
        <w:tc>
          <w:tcPr>
            <w:tcW w:w="931" w:type="dxa"/>
            <w:shd w:val="clear" w:color="auto" w:fill="D9D9D9" w:themeFill="background1" w:themeFillShade="D9"/>
            <w:vAlign w:val="bottom"/>
          </w:tcPr>
          <w:p w:rsidR="00675C40" w:rsidRPr="00C510BB" w:rsidRDefault="00675C40" w:rsidP="001D53F6">
            <w:pPr>
              <w:widowControl/>
              <w:rPr>
                <w:rFonts w:eastAsia="Calibri"/>
                <w:b/>
                <w:sz w:val="20"/>
                <w:szCs w:val="20"/>
              </w:rPr>
            </w:pPr>
            <w:r w:rsidRPr="00C510BB">
              <w:rPr>
                <w:rFonts w:eastAsia="Calibri"/>
                <w:b/>
                <w:sz w:val="20"/>
                <w:szCs w:val="20"/>
              </w:rPr>
              <w:t>Year</w:t>
            </w:r>
          </w:p>
        </w:tc>
        <w:tc>
          <w:tcPr>
            <w:tcW w:w="936" w:type="dxa"/>
            <w:shd w:val="clear" w:color="auto" w:fill="D9D9D9" w:themeFill="background1" w:themeFillShade="D9"/>
            <w:textDirection w:val="btLr"/>
          </w:tcPr>
          <w:p w:rsidR="00675C40" w:rsidRPr="00C510BB" w:rsidRDefault="00675C40" w:rsidP="001D53F6">
            <w:pPr>
              <w:widowControl/>
              <w:ind w:left="113" w:right="113"/>
              <w:rPr>
                <w:rFonts w:eastAsia="Calibri"/>
                <w:b/>
                <w:sz w:val="20"/>
                <w:szCs w:val="20"/>
              </w:rPr>
            </w:pPr>
            <w:r w:rsidRPr="00C510BB">
              <w:rPr>
                <w:rFonts w:eastAsia="Calibri"/>
                <w:b/>
                <w:sz w:val="20"/>
                <w:szCs w:val="20"/>
              </w:rPr>
              <w:t>Achievement Points</w:t>
            </w:r>
          </w:p>
        </w:tc>
        <w:tc>
          <w:tcPr>
            <w:tcW w:w="684" w:type="dxa"/>
            <w:shd w:val="clear" w:color="auto" w:fill="D9D9D9" w:themeFill="background1" w:themeFillShade="D9"/>
            <w:textDirection w:val="btLr"/>
          </w:tcPr>
          <w:p w:rsidR="00675C40" w:rsidRPr="00C510BB" w:rsidRDefault="00675C40" w:rsidP="001D53F6">
            <w:pPr>
              <w:widowControl/>
              <w:ind w:left="113" w:right="113"/>
              <w:rPr>
                <w:rFonts w:eastAsia="Calibri"/>
                <w:b/>
                <w:sz w:val="20"/>
                <w:szCs w:val="20"/>
              </w:rPr>
            </w:pPr>
            <w:r w:rsidRPr="00C510BB">
              <w:rPr>
                <w:rFonts w:eastAsia="Calibri"/>
                <w:b/>
                <w:sz w:val="20"/>
                <w:szCs w:val="20"/>
              </w:rPr>
              <w:t>Progress Points</w:t>
            </w:r>
          </w:p>
        </w:tc>
        <w:tc>
          <w:tcPr>
            <w:tcW w:w="720" w:type="dxa"/>
            <w:shd w:val="clear" w:color="auto" w:fill="D9D9D9" w:themeFill="background1" w:themeFillShade="D9"/>
            <w:textDirection w:val="btLr"/>
          </w:tcPr>
          <w:p w:rsidR="00675C40" w:rsidRPr="00C510BB" w:rsidRDefault="00675C40" w:rsidP="001D53F6">
            <w:pPr>
              <w:widowControl/>
              <w:ind w:left="113" w:right="113"/>
              <w:rPr>
                <w:rFonts w:eastAsia="Calibri"/>
                <w:b/>
                <w:sz w:val="20"/>
                <w:szCs w:val="20"/>
              </w:rPr>
            </w:pPr>
            <w:r w:rsidRPr="00C510BB">
              <w:rPr>
                <w:rFonts w:eastAsia="Calibri"/>
                <w:b/>
                <w:sz w:val="20"/>
                <w:szCs w:val="20"/>
              </w:rPr>
              <w:t>Achievement Gap Points</w:t>
            </w:r>
          </w:p>
        </w:tc>
        <w:tc>
          <w:tcPr>
            <w:tcW w:w="1067" w:type="dxa"/>
            <w:shd w:val="clear" w:color="auto" w:fill="D9D9D9" w:themeFill="background1" w:themeFillShade="D9"/>
            <w:textDirection w:val="btLr"/>
          </w:tcPr>
          <w:p w:rsidR="00675C40" w:rsidRPr="00C510BB" w:rsidRDefault="00675C40" w:rsidP="001D53F6">
            <w:pPr>
              <w:widowControl/>
              <w:ind w:left="113" w:right="113"/>
              <w:rPr>
                <w:rFonts w:eastAsia="Calibri"/>
                <w:b/>
                <w:sz w:val="20"/>
                <w:szCs w:val="20"/>
              </w:rPr>
            </w:pPr>
            <w:r w:rsidRPr="00C510BB">
              <w:rPr>
                <w:rFonts w:eastAsia="Calibri"/>
                <w:b/>
                <w:sz w:val="20"/>
                <w:szCs w:val="20"/>
              </w:rPr>
              <w:t>ED/EL/SWD Performance Points</w:t>
            </w:r>
          </w:p>
        </w:tc>
        <w:tc>
          <w:tcPr>
            <w:tcW w:w="1003" w:type="dxa"/>
            <w:shd w:val="clear" w:color="auto" w:fill="D9D9D9" w:themeFill="background1" w:themeFillShade="D9"/>
            <w:textDirection w:val="btLr"/>
          </w:tcPr>
          <w:p w:rsidR="00675C40" w:rsidRPr="00C510BB" w:rsidRDefault="00675C40" w:rsidP="001D53F6">
            <w:pPr>
              <w:widowControl/>
              <w:ind w:left="113" w:right="113"/>
              <w:rPr>
                <w:rFonts w:eastAsia="Calibri"/>
                <w:b/>
                <w:sz w:val="20"/>
                <w:szCs w:val="20"/>
              </w:rPr>
            </w:pPr>
            <w:r w:rsidRPr="00C510BB">
              <w:rPr>
                <w:rFonts w:eastAsia="Calibri"/>
                <w:b/>
                <w:sz w:val="20"/>
                <w:szCs w:val="20"/>
              </w:rPr>
              <w:t>Exceeding the Bar Points</w:t>
            </w:r>
          </w:p>
        </w:tc>
        <w:tc>
          <w:tcPr>
            <w:tcW w:w="990" w:type="dxa"/>
            <w:shd w:val="clear" w:color="auto" w:fill="D9D9D9" w:themeFill="background1" w:themeFillShade="D9"/>
            <w:textDirection w:val="btLr"/>
          </w:tcPr>
          <w:p w:rsidR="00675C40" w:rsidRPr="00C510BB" w:rsidRDefault="00675C40" w:rsidP="001D53F6">
            <w:pPr>
              <w:widowControl/>
              <w:ind w:left="113" w:right="113"/>
              <w:rPr>
                <w:rFonts w:eastAsia="Calibri"/>
                <w:b/>
                <w:sz w:val="20"/>
                <w:szCs w:val="20"/>
              </w:rPr>
            </w:pPr>
            <w:r w:rsidRPr="00C510BB">
              <w:rPr>
                <w:rFonts w:eastAsia="Calibri"/>
                <w:b/>
                <w:sz w:val="20"/>
                <w:szCs w:val="20"/>
              </w:rPr>
              <w:t>CCRPI Scores</w:t>
            </w:r>
          </w:p>
        </w:tc>
        <w:tc>
          <w:tcPr>
            <w:tcW w:w="1751" w:type="dxa"/>
            <w:shd w:val="clear" w:color="auto" w:fill="D9D9D9" w:themeFill="background1" w:themeFillShade="D9"/>
            <w:vAlign w:val="bottom"/>
          </w:tcPr>
          <w:p w:rsidR="00675C40" w:rsidRPr="00C510BB" w:rsidRDefault="00675C40" w:rsidP="001D53F6">
            <w:pPr>
              <w:widowControl/>
              <w:jc w:val="center"/>
              <w:rPr>
                <w:rFonts w:eastAsia="Calibri"/>
                <w:b/>
                <w:sz w:val="20"/>
                <w:szCs w:val="20"/>
              </w:rPr>
            </w:pPr>
            <w:r w:rsidRPr="00C510BB">
              <w:rPr>
                <w:rFonts w:eastAsia="Calibri"/>
                <w:b/>
                <w:sz w:val="20"/>
                <w:szCs w:val="20"/>
              </w:rPr>
              <w:t>Gain/Loss</w:t>
            </w:r>
          </w:p>
        </w:tc>
      </w:tr>
      <w:tr w:rsidR="00675C40" w:rsidRPr="000C418F" w:rsidTr="00675C40">
        <w:tc>
          <w:tcPr>
            <w:tcW w:w="931" w:type="dxa"/>
          </w:tcPr>
          <w:p w:rsidR="00675C40" w:rsidRPr="000C418F" w:rsidRDefault="00675C40" w:rsidP="001D53F6">
            <w:pPr>
              <w:widowControl/>
              <w:rPr>
                <w:rFonts w:eastAsia="Calibri"/>
                <w:b/>
                <w:sz w:val="20"/>
                <w:szCs w:val="20"/>
              </w:rPr>
            </w:pPr>
            <w:r w:rsidRPr="000C418F">
              <w:rPr>
                <w:rFonts w:eastAsia="Calibri"/>
                <w:b/>
                <w:sz w:val="20"/>
                <w:szCs w:val="20"/>
              </w:rPr>
              <w:t>2012</w:t>
            </w:r>
          </w:p>
        </w:tc>
        <w:tc>
          <w:tcPr>
            <w:tcW w:w="936" w:type="dxa"/>
            <w:vAlign w:val="bottom"/>
          </w:tcPr>
          <w:p w:rsidR="00675C40" w:rsidRPr="00B97376" w:rsidRDefault="00675C40" w:rsidP="001D53F6">
            <w:pPr>
              <w:jc w:val="center"/>
              <w:rPr>
                <w:b/>
                <w:color w:val="000000"/>
                <w:sz w:val="20"/>
                <w:szCs w:val="20"/>
              </w:rPr>
            </w:pPr>
            <w:r w:rsidRPr="00B97376">
              <w:rPr>
                <w:b/>
                <w:color w:val="000000"/>
                <w:sz w:val="20"/>
                <w:szCs w:val="20"/>
              </w:rPr>
              <w:t>33.1</w:t>
            </w:r>
          </w:p>
        </w:tc>
        <w:tc>
          <w:tcPr>
            <w:tcW w:w="684" w:type="dxa"/>
            <w:vAlign w:val="bottom"/>
          </w:tcPr>
          <w:p w:rsidR="00675C40" w:rsidRPr="00B97376" w:rsidRDefault="00675C40" w:rsidP="001D53F6">
            <w:pPr>
              <w:jc w:val="center"/>
              <w:rPr>
                <w:b/>
                <w:color w:val="000000"/>
                <w:sz w:val="20"/>
                <w:szCs w:val="20"/>
              </w:rPr>
            </w:pPr>
            <w:r w:rsidRPr="00B97376">
              <w:rPr>
                <w:b/>
                <w:color w:val="000000"/>
                <w:sz w:val="20"/>
                <w:szCs w:val="20"/>
              </w:rPr>
              <w:t>15.4</w:t>
            </w:r>
          </w:p>
        </w:tc>
        <w:tc>
          <w:tcPr>
            <w:tcW w:w="720" w:type="dxa"/>
            <w:vAlign w:val="bottom"/>
          </w:tcPr>
          <w:p w:rsidR="00675C40" w:rsidRPr="00B97376" w:rsidRDefault="00675C40" w:rsidP="001D53F6">
            <w:pPr>
              <w:jc w:val="center"/>
              <w:rPr>
                <w:b/>
                <w:color w:val="000000"/>
                <w:sz w:val="20"/>
                <w:szCs w:val="20"/>
              </w:rPr>
            </w:pPr>
            <w:r w:rsidRPr="00B97376">
              <w:rPr>
                <w:b/>
                <w:color w:val="000000"/>
                <w:sz w:val="20"/>
                <w:szCs w:val="20"/>
              </w:rPr>
              <w:t>13.8</w:t>
            </w:r>
          </w:p>
        </w:tc>
        <w:tc>
          <w:tcPr>
            <w:tcW w:w="1067" w:type="dxa"/>
            <w:vAlign w:val="bottom"/>
          </w:tcPr>
          <w:p w:rsidR="00675C40" w:rsidRPr="00B97376" w:rsidRDefault="00675C40" w:rsidP="001D53F6">
            <w:pPr>
              <w:jc w:val="center"/>
              <w:rPr>
                <w:b/>
                <w:color w:val="000000"/>
                <w:sz w:val="20"/>
                <w:szCs w:val="20"/>
              </w:rPr>
            </w:pPr>
            <w:r w:rsidRPr="00B97376">
              <w:rPr>
                <w:b/>
                <w:color w:val="000000"/>
                <w:sz w:val="20"/>
                <w:szCs w:val="20"/>
              </w:rPr>
              <w:t>1</w:t>
            </w:r>
          </w:p>
        </w:tc>
        <w:tc>
          <w:tcPr>
            <w:tcW w:w="1003" w:type="dxa"/>
            <w:vAlign w:val="bottom"/>
          </w:tcPr>
          <w:p w:rsidR="00675C40" w:rsidRPr="00B97376" w:rsidRDefault="00675C40" w:rsidP="001D53F6">
            <w:pPr>
              <w:jc w:val="center"/>
              <w:rPr>
                <w:b/>
                <w:color w:val="000000"/>
                <w:sz w:val="20"/>
                <w:szCs w:val="20"/>
              </w:rPr>
            </w:pPr>
            <w:r w:rsidRPr="00B97376">
              <w:rPr>
                <w:b/>
                <w:color w:val="000000"/>
                <w:sz w:val="20"/>
                <w:szCs w:val="20"/>
              </w:rPr>
              <w:t>1</w:t>
            </w:r>
          </w:p>
        </w:tc>
        <w:tc>
          <w:tcPr>
            <w:tcW w:w="990" w:type="dxa"/>
            <w:vAlign w:val="bottom"/>
          </w:tcPr>
          <w:p w:rsidR="00675C40" w:rsidRPr="00B97376" w:rsidRDefault="00675C40" w:rsidP="001D53F6">
            <w:pPr>
              <w:jc w:val="center"/>
              <w:rPr>
                <w:b/>
                <w:color w:val="000000"/>
                <w:sz w:val="20"/>
                <w:szCs w:val="20"/>
              </w:rPr>
            </w:pPr>
            <w:r w:rsidRPr="00B97376">
              <w:rPr>
                <w:b/>
                <w:color w:val="000000"/>
                <w:sz w:val="20"/>
                <w:szCs w:val="20"/>
              </w:rPr>
              <w:t>64</w:t>
            </w:r>
          </w:p>
        </w:tc>
        <w:tc>
          <w:tcPr>
            <w:tcW w:w="1751" w:type="dxa"/>
            <w:vAlign w:val="bottom"/>
          </w:tcPr>
          <w:p w:rsidR="00675C40" w:rsidRPr="00B97376" w:rsidRDefault="00675C40" w:rsidP="001D53F6">
            <w:pPr>
              <w:jc w:val="center"/>
              <w:rPr>
                <w:b/>
                <w:color w:val="000000"/>
                <w:sz w:val="20"/>
                <w:szCs w:val="20"/>
              </w:rPr>
            </w:pPr>
            <w:r w:rsidRPr="00B97376">
              <w:rPr>
                <w:b/>
                <w:color w:val="000000"/>
                <w:sz w:val="20"/>
                <w:szCs w:val="20"/>
              </w:rPr>
              <w:t> </w:t>
            </w:r>
          </w:p>
        </w:tc>
      </w:tr>
      <w:tr w:rsidR="00675C40" w:rsidRPr="000C418F" w:rsidTr="00675C40">
        <w:tc>
          <w:tcPr>
            <w:tcW w:w="931" w:type="dxa"/>
          </w:tcPr>
          <w:p w:rsidR="00675C40" w:rsidRPr="000C418F" w:rsidRDefault="00675C40" w:rsidP="001D53F6">
            <w:pPr>
              <w:widowControl/>
              <w:rPr>
                <w:rFonts w:eastAsia="Calibri"/>
                <w:b/>
                <w:sz w:val="20"/>
                <w:szCs w:val="20"/>
              </w:rPr>
            </w:pPr>
            <w:r w:rsidRPr="000C418F">
              <w:rPr>
                <w:rFonts w:eastAsia="Calibri"/>
                <w:b/>
                <w:sz w:val="20"/>
                <w:szCs w:val="20"/>
              </w:rPr>
              <w:t>2013</w:t>
            </w:r>
          </w:p>
        </w:tc>
        <w:tc>
          <w:tcPr>
            <w:tcW w:w="936" w:type="dxa"/>
            <w:vAlign w:val="bottom"/>
          </w:tcPr>
          <w:p w:rsidR="00675C40" w:rsidRPr="00B97376" w:rsidRDefault="00675C40" w:rsidP="001D53F6">
            <w:pPr>
              <w:jc w:val="center"/>
              <w:rPr>
                <w:b/>
                <w:color w:val="000000"/>
                <w:sz w:val="20"/>
                <w:szCs w:val="20"/>
              </w:rPr>
            </w:pPr>
            <w:r w:rsidRPr="00B97376">
              <w:rPr>
                <w:b/>
                <w:color w:val="000000"/>
                <w:sz w:val="20"/>
                <w:szCs w:val="20"/>
              </w:rPr>
              <w:t>33.6</w:t>
            </w:r>
          </w:p>
        </w:tc>
        <w:tc>
          <w:tcPr>
            <w:tcW w:w="684" w:type="dxa"/>
            <w:vAlign w:val="bottom"/>
          </w:tcPr>
          <w:p w:rsidR="00675C40" w:rsidRPr="00B97376" w:rsidRDefault="00675C40" w:rsidP="001D53F6">
            <w:pPr>
              <w:jc w:val="center"/>
              <w:rPr>
                <w:b/>
                <w:color w:val="000000"/>
                <w:sz w:val="20"/>
                <w:szCs w:val="20"/>
              </w:rPr>
            </w:pPr>
            <w:r w:rsidRPr="00B97376">
              <w:rPr>
                <w:b/>
                <w:color w:val="000000"/>
                <w:sz w:val="20"/>
                <w:szCs w:val="20"/>
              </w:rPr>
              <w:t>15.9</w:t>
            </w:r>
          </w:p>
        </w:tc>
        <w:tc>
          <w:tcPr>
            <w:tcW w:w="720" w:type="dxa"/>
            <w:vAlign w:val="bottom"/>
          </w:tcPr>
          <w:p w:rsidR="00675C40" w:rsidRPr="00B97376" w:rsidRDefault="00675C40" w:rsidP="001D53F6">
            <w:pPr>
              <w:jc w:val="center"/>
              <w:rPr>
                <w:b/>
                <w:color w:val="000000"/>
                <w:sz w:val="20"/>
                <w:szCs w:val="20"/>
              </w:rPr>
            </w:pPr>
            <w:r w:rsidRPr="00B97376">
              <w:rPr>
                <w:b/>
                <w:color w:val="000000"/>
                <w:sz w:val="20"/>
                <w:szCs w:val="20"/>
              </w:rPr>
              <w:t>7.5</w:t>
            </w:r>
          </w:p>
        </w:tc>
        <w:tc>
          <w:tcPr>
            <w:tcW w:w="1067" w:type="dxa"/>
            <w:vAlign w:val="bottom"/>
          </w:tcPr>
          <w:p w:rsidR="00675C40" w:rsidRPr="00B97376" w:rsidRDefault="00675C40" w:rsidP="001D53F6">
            <w:pPr>
              <w:jc w:val="center"/>
              <w:rPr>
                <w:b/>
                <w:color w:val="000000"/>
                <w:sz w:val="20"/>
                <w:szCs w:val="20"/>
              </w:rPr>
            </w:pPr>
            <w:r w:rsidRPr="00B97376">
              <w:rPr>
                <w:b/>
                <w:color w:val="000000"/>
                <w:sz w:val="20"/>
                <w:szCs w:val="20"/>
              </w:rPr>
              <w:t>1.6</w:t>
            </w:r>
          </w:p>
        </w:tc>
        <w:tc>
          <w:tcPr>
            <w:tcW w:w="1003" w:type="dxa"/>
            <w:vAlign w:val="bottom"/>
          </w:tcPr>
          <w:p w:rsidR="00675C40" w:rsidRPr="00B97376" w:rsidRDefault="00675C40" w:rsidP="001D53F6">
            <w:pPr>
              <w:jc w:val="center"/>
              <w:rPr>
                <w:b/>
                <w:color w:val="000000"/>
                <w:sz w:val="20"/>
                <w:szCs w:val="20"/>
              </w:rPr>
            </w:pPr>
            <w:r w:rsidRPr="00B97376">
              <w:rPr>
                <w:b/>
                <w:color w:val="000000"/>
                <w:sz w:val="20"/>
                <w:szCs w:val="20"/>
              </w:rPr>
              <w:t>0</w:t>
            </w:r>
          </w:p>
        </w:tc>
        <w:tc>
          <w:tcPr>
            <w:tcW w:w="990" w:type="dxa"/>
            <w:vAlign w:val="bottom"/>
          </w:tcPr>
          <w:p w:rsidR="00675C40" w:rsidRPr="00B97376" w:rsidRDefault="00675C40" w:rsidP="001D53F6">
            <w:pPr>
              <w:jc w:val="center"/>
              <w:rPr>
                <w:b/>
                <w:color w:val="000000"/>
                <w:sz w:val="20"/>
                <w:szCs w:val="20"/>
              </w:rPr>
            </w:pPr>
            <w:r w:rsidRPr="00B97376">
              <w:rPr>
                <w:b/>
                <w:color w:val="000000"/>
                <w:sz w:val="20"/>
                <w:szCs w:val="20"/>
              </w:rPr>
              <w:t>58.6</w:t>
            </w:r>
          </w:p>
        </w:tc>
        <w:tc>
          <w:tcPr>
            <w:tcW w:w="1751" w:type="dxa"/>
            <w:vAlign w:val="bottom"/>
          </w:tcPr>
          <w:p w:rsidR="00675C40" w:rsidRPr="00B97376" w:rsidRDefault="00675C40" w:rsidP="001D53F6">
            <w:pPr>
              <w:jc w:val="center"/>
              <w:rPr>
                <w:b/>
                <w:color w:val="000000"/>
                <w:sz w:val="20"/>
                <w:szCs w:val="20"/>
              </w:rPr>
            </w:pPr>
            <w:r w:rsidRPr="00B97376">
              <w:rPr>
                <w:b/>
                <w:color w:val="000000"/>
                <w:sz w:val="20"/>
                <w:szCs w:val="20"/>
              </w:rPr>
              <w:t>-5.4</w:t>
            </w:r>
          </w:p>
        </w:tc>
      </w:tr>
      <w:tr w:rsidR="00675C40" w:rsidRPr="000C418F" w:rsidTr="00675C40">
        <w:tc>
          <w:tcPr>
            <w:tcW w:w="931" w:type="dxa"/>
          </w:tcPr>
          <w:p w:rsidR="00675C40" w:rsidRPr="000C418F" w:rsidRDefault="00675C40" w:rsidP="001D53F6">
            <w:pPr>
              <w:widowControl/>
              <w:rPr>
                <w:rFonts w:eastAsia="Calibri"/>
                <w:b/>
                <w:sz w:val="20"/>
                <w:szCs w:val="20"/>
              </w:rPr>
            </w:pPr>
            <w:r w:rsidRPr="000C418F">
              <w:rPr>
                <w:rFonts w:eastAsia="Calibri"/>
                <w:b/>
                <w:sz w:val="20"/>
                <w:szCs w:val="20"/>
              </w:rPr>
              <w:t>2014</w:t>
            </w:r>
          </w:p>
        </w:tc>
        <w:tc>
          <w:tcPr>
            <w:tcW w:w="936" w:type="dxa"/>
            <w:vAlign w:val="bottom"/>
          </w:tcPr>
          <w:p w:rsidR="00675C40" w:rsidRPr="00B97376" w:rsidRDefault="00675C40" w:rsidP="001D53F6">
            <w:pPr>
              <w:jc w:val="center"/>
              <w:rPr>
                <w:b/>
                <w:color w:val="000000"/>
                <w:sz w:val="20"/>
                <w:szCs w:val="20"/>
              </w:rPr>
            </w:pPr>
            <w:r w:rsidRPr="00B97376">
              <w:rPr>
                <w:b/>
                <w:color w:val="000000"/>
                <w:sz w:val="20"/>
                <w:szCs w:val="20"/>
              </w:rPr>
              <w:t>35.2</w:t>
            </w:r>
          </w:p>
        </w:tc>
        <w:tc>
          <w:tcPr>
            <w:tcW w:w="684" w:type="dxa"/>
            <w:vAlign w:val="bottom"/>
          </w:tcPr>
          <w:p w:rsidR="00675C40" w:rsidRPr="00B97376" w:rsidRDefault="00675C40" w:rsidP="001D53F6">
            <w:pPr>
              <w:jc w:val="center"/>
              <w:rPr>
                <w:b/>
                <w:color w:val="000000"/>
                <w:sz w:val="20"/>
                <w:szCs w:val="20"/>
              </w:rPr>
            </w:pPr>
            <w:r w:rsidRPr="00B97376">
              <w:rPr>
                <w:b/>
                <w:color w:val="000000"/>
                <w:sz w:val="20"/>
                <w:szCs w:val="20"/>
              </w:rPr>
              <w:t>15.3</w:t>
            </w:r>
          </w:p>
        </w:tc>
        <w:tc>
          <w:tcPr>
            <w:tcW w:w="720" w:type="dxa"/>
            <w:vAlign w:val="bottom"/>
          </w:tcPr>
          <w:p w:rsidR="00675C40" w:rsidRPr="00B97376" w:rsidRDefault="00675C40" w:rsidP="001D53F6">
            <w:pPr>
              <w:jc w:val="center"/>
              <w:rPr>
                <w:b/>
                <w:color w:val="000000"/>
                <w:sz w:val="20"/>
                <w:szCs w:val="20"/>
              </w:rPr>
            </w:pPr>
            <w:r w:rsidRPr="00B97376">
              <w:rPr>
                <w:b/>
                <w:color w:val="000000"/>
                <w:sz w:val="20"/>
                <w:szCs w:val="20"/>
              </w:rPr>
              <w:t>7.5</w:t>
            </w:r>
          </w:p>
        </w:tc>
        <w:tc>
          <w:tcPr>
            <w:tcW w:w="1067" w:type="dxa"/>
            <w:vAlign w:val="bottom"/>
          </w:tcPr>
          <w:p w:rsidR="00675C40" w:rsidRPr="00B97376" w:rsidRDefault="00675C40" w:rsidP="001D53F6">
            <w:pPr>
              <w:jc w:val="center"/>
              <w:rPr>
                <w:b/>
                <w:color w:val="000000"/>
                <w:sz w:val="20"/>
                <w:szCs w:val="20"/>
              </w:rPr>
            </w:pPr>
            <w:r w:rsidRPr="00B97376">
              <w:rPr>
                <w:b/>
                <w:color w:val="000000"/>
                <w:sz w:val="20"/>
                <w:szCs w:val="20"/>
              </w:rPr>
              <w:t>1.7</w:t>
            </w:r>
          </w:p>
        </w:tc>
        <w:tc>
          <w:tcPr>
            <w:tcW w:w="1003" w:type="dxa"/>
            <w:vAlign w:val="bottom"/>
          </w:tcPr>
          <w:p w:rsidR="00675C40" w:rsidRPr="00B97376" w:rsidRDefault="00675C40" w:rsidP="001D53F6">
            <w:pPr>
              <w:jc w:val="center"/>
              <w:rPr>
                <w:b/>
                <w:color w:val="000000"/>
                <w:sz w:val="20"/>
                <w:szCs w:val="20"/>
              </w:rPr>
            </w:pPr>
            <w:r w:rsidRPr="00B97376">
              <w:rPr>
                <w:b/>
                <w:color w:val="000000"/>
                <w:sz w:val="20"/>
                <w:szCs w:val="20"/>
              </w:rPr>
              <w:t>0</w:t>
            </w:r>
          </w:p>
        </w:tc>
        <w:tc>
          <w:tcPr>
            <w:tcW w:w="990" w:type="dxa"/>
            <w:vAlign w:val="bottom"/>
          </w:tcPr>
          <w:p w:rsidR="00675C40" w:rsidRPr="00B97376" w:rsidRDefault="00675C40" w:rsidP="001D53F6">
            <w:pPr>
              <w:jc w:val="center"/>
              <w:rPr>
                <w:b/>
                <w:color w:val="000000"/>
                <w:sz w:val="20"/>
                <w:szCs w:val="20"/>
              </w:rPr>
            </w:pPr>
            <w:r w:rsidRPr="00B97376">
              <w:rPr>
                <w:b/>
                <w:color w:val="000000"/>
                <w:sz w:val="20"/>
                <w:szCs w:val="20"/>
              </w:rPr>
              <w:t>59.7</w:t>
            </w:r>
          </w:p>
        </w:tc>
        <w:tc>
          <w:tcPr>
            <w:tcW w:w="1751" w:type="dxa"/>
            <w:vAlign w:val="bottom"/>
          </w:tcPr>
          <w:p w:rsidR="00675C40" w:rsidRPr="00B97376" w:rsidRDefault="00B97376" w:rsidP="001D53F6">
            <w:pPr>
              <w:jc w:val="center"/>
              <w:rPr>
                <w:b/>
                <w:color w:val="000000"/>
                <w:sz w:val="20"/>
                <w:szCs w:val="20"/>
              </w:rPr>
            </w:pPr>
            <w:r w:rsidRPr="00B97376">
              <w:rPr>
                <w:b/>
                <w:color w:val="000000"/>
                <w:sz w:val="20"/>
                <w:szCs w:val="20"/>
              </w:rPr>
              <w:t>+</w:t>
            </w:r>
            <w:r w:rsidR="00675C40" w:rsidRPr="00B97376">
              <w:rPr>
                <w:b/>
                <w:color w:val="000000"/>
                <w:sz w:val="20"/>
                <w:szCs w:val="20"/>
              </w:rPr>
              <w:t>1.1</w:t>
            </w:r>
          </w:p>
        </w:tc>
      </w:tr>
      <w:tr w:rsidR="00B97376" w:rsidRPr="000C418F" w:rsidTr="00675C40">
        <w:tc>
          <w:tcPr>
            <w:tcW w:w="931" w:type="dxa"/>
          </w:tcPr>
          <w:p w:rsidR="00B97376" w:rsidRPr="000C418F" w:rsidRDefault="00B97376" w:rsidP="001D53F6">
            <w:pPr>
              <w:rPr>
                <w:rFonts w:eastAsia="Calibri"/>
                <w:b/>
                <w:sz w:val="20"/>
                <w:szCs w:val="20"/>
              </w:rPr>
            </w:pPr>
            <w:r>
              <w:rPr>
                <w:rFonts w:eastAsia="Calibri"/>
                <w:b/>
                <w:sz w:val="20"/>
                <w:szCs w:val="20"/>
              </w:rPr>
              <w:t>2015</w:t>
            </w:r>
          </w:p>
        </w:tc>
        <w:tc>
          <w:tcPr>
            <w:tcW w:w="936" w:type="dxa"/>
            <w:vAlign w:val="bottom"/>
          </w:tcPr>
          <w:p w:rsidR="00B97376" w:rsidRPr="00B97376" w:rsidRDefault="00B97376" w:rsidP="001D53F6">
            <w:pPr>
              <w:jc w:val="center"/>
              <w:rPr>
                <w:b/>
                <w:color w:val="000000"/>
                <w:sz w:val="20"/>
                <w:szCs w:val="20"/>
              </w:rPr>
            </w:pPr>
            <w:r w:rsidRPr="00B97376">
              <w:rPr>
                <w:b/>
                <w:color w:val="000000"/>
                <w:sz w:val="20"/>
                <w:szCs w:val="20"/>
              </w:rPr>
              <w:t>24.4</w:t>
            </w:r>
          </w:p>
        </w:tc>
        <w:tc>
          <w:tcPr>
            <w:tcW w:w="684" w:type="dxa"/>
            <w:vAlign w:val="bottom"/>
          </w:tcPr>
          <w:p w:rsidR="00B97376" w:rsidRPr="00B97376" w:rsidRDefault="00B97376" w:rsidP="001D53F6">
            <w:pPr>
              <w:jc w:val="center"/>
              <w:rPr>
                <w:b/>
                <w:color w:val="000000"/>
                <w:sz w:val="20"/>
                <w:szCs w:val="20"/>
              </w:rPr>
            </w:pPr>
            <w:r w:rsidRPr="00B97376">
              <w:rPr>
                <w:b/>
                <w:color w:val="000000"/>
                <w:sz w:val="20"/>
                <w:szCs w:val="20"/>
              </w:rPr>
              <w:t>32.6</w:t>
            </w:r>
          </w:p>
        </w:tc>
        <w:tc>
          <w:tcPr>
            <w:tcW w:w="720" w:type="dxa"/>
            <w:vAlign w:val="bottom"/>
          </w:tcPr>
          <w:p w:rsidR="00B97376" w:rsidRPr="00B97376" w:rsidRDefault="00B97376" w:rsidP="001D53F6">
            <w:pPr>
              <w:jc w:val="center"/>
              <w:rPr>
                <w:b/>
                <w:color w:val="000000"/>
                <w:sz w:val="20"/>
                <w:szCs w:val="20"/>
              </w:rPr>
            </w:pPr>
            <w:r w:rsidRPr="00B97376">
              <w:rPr>
                <w:b/>
                <w:color w:val="000000"/>
                <w:sz w:val="20"/>
                <w:szCs w:val="20"/>
              </w:rPr>
              <w:t>5.8</w:t>
            </w:r>
          </w:p>
        </w:tc>
        <w:tc>
          <w:tcPr>
            <w:tcW w:w="1067" w:type="dxa"/>
            <w:vAlign w:val="bottom"/>
          </w:tcPr>
          <w:p w:rsidR="00B97376" w:rsidRPr="00B97376" w:rsidRDefault="00B97376" w:rsidP="001D53F6">
            <w:pPr>
              <w:jc w:val="center"/>
              <w:rPr>
                <w:b/>
                <w:color w:val="000000"/>
                <w:sz w:val="20"/>
                <w:szCs w:val="20"/>
              </w:rPr>
            </w:pPr>
            <w:r w:rsidRPr="00B97376">
              <w:rPr>
                <w:b/>
                <w:color w:val="000000"/>
                <w:sz w:val="20"/>
                <w:szCs w:val="20"/>
              </w:rPr>
              <w:t>1.0</w:t>
            </w:r>
          </w:p>
        </w:tc>
        <w:tc>
          <w:tcPr>
            <w:tcW w:w="1003" w:type="dxa"/>
            <w:vAlign w:val="bottom"/>
          </w:tcPr>
          <w:p w:rsidR="00B97376" w:rsidRPr="00B97376" w:rsidRDefault="00B97376" w:rsidP="001D53F6">
            <w:pPr>
              <w:jc w:val="center"/>
              <w:rPr>
                <w:b/>
                <w:color w:val="000000"/>
                <w:sz w:val="20"/>
                <w:szCs w:val="20"/>
              </w:rPr>
            </w:pPr>
            <w:r w:rsidRPr="00B97376">
              <w:rPr>
                <w:b/>
                <w:color w:val="000000"/>
                <w:sz w:val="20"/>
                <w:szCs w:val="20"/>
              </w:rPr>
              <w:t>0</w:t>
            </w:r>
          </w:p>
        </w:tc>
        <w:tc>
          <w:tcPr>
            <w:tcW w:w="990" w:type="dxa"/>
            <w:vAlign w:val="bottom"/>
          </w:tcPr>
          <w:p w:rsidR="00B97376" w:rsidRPr="00B97376" w:rsidRDefault="00B97376" w:rsidP="001D53F6">
            <w:pPr>
              <w:jc w:val="center"/>
              <w:rPr>
                <w:b/>
                <w:color w:val="000000"/>
                <w:sz w:val="20"/>
                <w:szCs w:val="20"/>
              </w:rPr>
            </w:pPr>
            <w:r w:rsidRPr="00B97376">
              <w:rPr>
                <w:b/>
                <w:color w:val="000000"/>
                <w:sz w:val="20"/>
                <w:szCs w:val="20"/>
              </w:rPr>
              <w:t>63.8</w:t>
            </w:r>
          </w:p>
        </w:tc>
        <w:tc>
          <w:tcPr>
            <w:tcW w:w="1751" w:type="dxa"/>
            <w:vAlign w:val="bottom"/>
          </w:tcPr>
          <w:p w:rsidR="00B97376" w:rsidRPr="00B97376" w:rsidRDefault="00B97376" w:rsidP="001D53F6">
            <w:pPr>
              <w:jc w:val="center"/>
              <w:rPr>
                <w:b/>
                <w:color w:val="000000"/>
                <w:sz w:val="20"/>
                <w:szCs w:val="20"/>
              </w:rPr>
            </w:pPr>
            <w:r w:rsidRPr="00B97376">
              <w:rPr>
                <w:b/>
                <w:color w:val="000000"/>
                <w:sz w:val="20"/>
                <w:szCs w:val="20"/>
              </w:rPr>
              <w:t>+4.1</w:t>
            </w:r>
          </w:p>
        </w:tc>
      </w:tr>
    </w:tbl>
    <w:p w:rsidR="00703023" w:rsidRPr="00417E66" w:rsidRDefault="00703023" w:rsidP="00675C40"/>
    <w:p w:rsidR="00BC45A1" w:rsidRPr="00BC45A1" w:rsidRDefault="00BC45A1" w:rsidP="00BC45A1">
      <w:pPr>
        <w:spacing w:line="220" w:lineRule="exact"/>
        <w:rPr>
          <w:sz w:val="22"/>
          <w:szCs w:val="22"/>
        </w:rPr>
      </w:pPr>
      <w:r w:rsidRPr="00BC45A1">
        <w:rPr>
          <w:sz w:val="22"/>
          <w:szCs w:val="22"/>
        </w:rPr>
        <w:t xml:space="preserve">Based on the CCRPI comparison, there is a need to focus on closing the achievement gap between subgroups to increase CCRPI scores for 2015.  </w:t>
      </w:r>
    </w:p>
    <w:p w:rsidR="00BC45A1" w:rsidRPr="0010034D" w:rsidRDefault="00BC45A1" w:rsidP="00BC45A1">
      <w:pPr>
        <w:rPr>
          <w:sz w:val="22"/>
          <w:szCs w:val="22"/>
        </w:rPr>
      </w:pPr>
    </w:p>
    <w:p w:rsidR="00BC45A1" w:rsidRPr="0010034D" w:rsidRDefault="00BC45A1" w:rsidP="00BC45A1">
      <w:pPr>
        <w:rPr>
          <w:sz w:val="22"/>
          <w:szCs w:val="22"/>
        </w:rPr>
      </w:pPr>
      <w:r w:rsidRPr="0010034D">
        <w:rPr>
          <w:sz w:val="22"/>
          <w:szCs w:val="22"/>
        </w:rPr>
        <w:t xml:space="preserve">Despite the progress made by our students, William H Spencer High School’s has been designated as a SIG Priority </w:t>
      </w:r>
      <w:r w:rsidR="00DC69D4">
        <w:rPr>
          <w:sz w:val="22"/>
          <w:szCs w:val="22"/>
        </w:rPr>
        <w:t>School for the 2016</w:t>
      </w:r>
      <w:r w:rsidRPr="0010034D">
        <w:rPr>
          <w:sz w:val="22"/>
          <w:szCs w:val="22"/>
        </w:rPr>
        <w:t>-201</w:t>
      </w:r>
      <w:r w:rsidR="00DC69D4">
        <w:rPr>
          <w:sz w:val="22"/>
          <w:szCs w:val="22"/>
        </w:rPr>
        <w:t>7</w:t>
      </w:r>
      <w:r w:rsidRPr="0010034D">
        <w:rPr>
          <w:sz w:val="22"/>
          <w:szCs w:val="22"/>
        </w:rPr>
        <w:t xml:space="preserve"> school year</w:t>
      </w:r>
      <w:r w:rsidRPr="0010034D">
        <w:rPr>
          <w:color w:val="000000" w:themeColor="text1"/>
          <w:sz w:val="22"/>
          <w:szCs w:val="22"/>
        </w:rPr>
        <w:t xml:space="preserve">.  This designation is based on our achievement for the last two consecutive years.  </w:t>
      </w:r>
      <w:r w:rsidRPr="0010034D">
        <w:rPr>
          <w:sz w:val="22"/>
          <w:szCs w:val="22"/>
        </w:rPr>
        <w:t xml:space="preserve">We will keep this designation until our school meets the exit criteria for Priority School status.   </w:t>
      </w:r>
    </w:p>
    <w:p w:rsidR="00BC45A1" w:rsidRPr="0010034D" w:rsidRDefault="00BC45A1" w:rsidP="00BC45A1">
      <w:pPr>
        <w:rPr>
          <w:sz w:val="22"/>
          <w:szCs w:val="22"/>
        </w:rPr>
      </w:pPr>
    </w:p>
    <w:p w:rsidR="004D3CA9" w:rsidRDefault="004D3CA9" w:rsidP="00BC45A1">
      <w:pPr>
        <w:rPr>
          <w:sz w:val="22"/>
          <w:szCs w:val="22"/>
        </w:rPr>
      </w:pPr>
    </w:p>
    <w:p w:rsidR="004D3CA9" w:rsidRDefault="004D3CA9" w:rsidP="00BC45A1">
      <w:pPr>
        <w:rPr>
          <w:sz w:val="22"/>
          <w:szCs w:val="22"/>
        </w:rPr>
      </w:pPr>
    </w:p>
    <w:p w:rsidR="004D3CA9" w:rsidRDefault="004D3CA9" w:rsidP="00BC45A1">
      <w:pPr>
        <w:rPr>
          <w:sz w:val="22"/>
          <w:szCs w:val="22"/>
        </w:rPr>
      </w:pPr>
    </w:p>
    <w:p w:rsidR="00BC45A1" w:rsidRPr="0010034D" w:rsidRDefault="00BC45A1" w:rsidP="00BC45A1">
      <w:pPr>
        <w:rPr>
          <w:sz w:val="22"/>
          <w:szCs w:val="22"/>
        </w:rPr>
      </w:pPr>
      <w:r w:rsidRPr="0010034D">
        <w:rPr>
          <w:sz w:val="22"/>
          <w:szCs w:val="22"/>
        </w:rPr>
        <w:t>As a Priority School, we will work together with parents/guardians, our community, and the</w:t>
      </w:r>
      <w:r w:rsidRPr="0010034D">
        <w:rPr>
          <w:bCs/>
          <w:sz w:val="22"/>
          <w:szCs w:val="22"/>
        </w:rPr>
        <w:t xml:space="preserve"> Muscogee County School District</w:t>
      </w:r>
      <w:r w:rsidRPr="0010034D">
        <w:rPr>
          <w:sz w:val="22"/>
          <w:szCs w:val="22"/>
        </w:rPr>
        <w:t xml:space="preserve"> to develop a school plan that delivers the necessary support to address the learning needs of our students and increase their academic success.  One or more of the following intervention programs will be provided at the school:  Before School Tutoring, After School Tutoring, Increased Learning Time (ILT), Saturday School, and/or Summer School.  </w:t>
      </w:r>
    </w:p>
    <w:p w:rsidR="00BC45A1" w:rsidRPr="0010034D" w:rsidRDefault="00BC45A1" w:rsidP="00BC45A1">
      <w:pPr>
        <w:rPr>
          <w:sz w:val="22"/>
          <w:szCs w:val="22"/>
        </w:rPr>
      </w:pPr>
    </w:p>
    <w:p w:rsidR="00417E66" w:rsidRPr="0010034D" w:rsidRDefault="00417E66" w:rsidP="006B3C09">
      <w:pPr>
        <w:tabs>
          <w:tab w:val="left" w:pos="3057"/>
        </w:tabs>
        <w:rPr>
          <w:sz w:val="22"/>
          <w:szCs w:val="22"/>
        </w:rPr>
      </w:pPr>
    </w:p>
    <w:p w:rsidR="0010034D" w:rsidRPr="0010034D" w:rsidRDefault="00703023" w:rsidP="0010034D">
      <w:pPr>
        <w:rPr>
          <w:sz w:val="22"/>
          <w:szCs w:val="22"/>
        </w:rPr>
      </w:pPr>
      <w:r w:rsidRPr="0010034D">
        <w:rPr>
          <w:sz w:val="22"/>
          <w:szCs w:val="22"/>
        </w:rPr>
        <w:t xml:space="preserve">An important part of </w:t>
      </w:r>
      <w:r w:rsidR="00D559C9">
        <w:rPr>
          <w:sz w:val="22"/>
          <w:szCs w:val="22"/>
        </w:rPr>
        <w:t>William H.</w:t>
      </w:r>
      <w:r w:rsidR="008E0EF7" w:rsidRPr="0010034D">
        <w:rPr>
          <w:sz w:val="22"/>
          <w:szCs w:val="22"/>
        </w:rPr>
        <w:t xml:space="preserve"> Spencer High School</w:t>
      </w:r>
      <w:r w:rsidRPr="0010034D">
        <w:rPr>
          <w:sz w:val="22"/>
          <w:szCs w:val="22"/>
        </w:rPr>
        <w:t xml:space="preserve">’s success is parent participation and support in developing activities to improve student achievement.  We hope that you will become involved in our school improvement work as we continue to monitor student achievement and set high expectations.  </w:t>
      </w:r>
      <w:r w:rsidR="003B351B" w:rsidRPr="0010034D">
        <w:rPr>
          <w:sz w:val="22"/>
          <w:szCs w:val="22"/>
        </w:rPr>
        <w:t xml:space="preserve">If you are interested in participating in the development of our school improvement plans, being a part of our family engagement team or have questions about how you can better help your child in school, </w:t>
      </w:r>
      <w:r w:rsidR="0010034D" w:rsidRPr="0010034D">
        <w:rPr>
          <w:sz w:val="22"/>
          <w:szCs w:val="22"/>
        </w:rPr>
        <w:t>please contact the Tit</w:t>
      </w:r>
      <w:r w:rsidR="00B97376">
        <w:rPr>
          <w:sz w:val="22"/>
          <w:szCs w:val="22"/>
        </w:rPr>
        <w:t>le I Department, at 706-748-3315</w:t>
      </w:r>
      <w:r w:rsidR="0010034D" w:rsidRPr="0010034D">
        <w:rPr>
          <w:sz w:val="22"/>
          <w:szCs w:val="22"/>
        </w:rPr>
        <w:t>.</w:t>
      </w:r>
    </w:p>
    <w:p w:rsidR="00703023" w:rsidRPr="0010034D" w:rsidRDefault="00703023" w:rsidP="00703023">
      <w:pPr>
        <w:rPr>
          <w:color w:val="FF0000"/>
          <w:sz w:val="22"/>
          <w:szCs w:val="22"/>
        </w:rPr>
      </w:pPr>
    </w:p>
    <w:p w:rsidR="00703023" w:rsidRPr="0010034D" w:rsidRDefault="00703023" w:rsidP="00703023">
      <w:pPr>
        <w:rPr>
          <w:sz w:val="22"/>
          <w:szCs w:val="22"/>
        </w:rPr>
      </w:pPr>
      <w:r w:rsidRPr="0010034D">
        <w:rPr>
          <w:sz w:val="22"/>
          <w:szCs w:val="22"/>
        </w:rPr>
        <w:t>Thank you for all that you do to support your child’s education.</w:t>
      </w:r>
    </w:p>
    <w:p w:rsidR="00703023" w:rsidRPr="0010034D" w:rsidRDefault="00703023" w:rsidP="00703023">
      <w:pPr>
        <w:tabs>
          <w:tab w:val="left" w:pos="3057"/>
        </w:tabs>
        <w:rPr>
          <w:sz w:val="22"/>
          <w:szCs w:val="22"/>
        </w:rPr>
      </w:pPr>
    </w:p>
    <w:p w:rsidR="00703023" w:rsidRPr="00BC45A1" w:rsidRDefault="00703023" w:rsidP="00703023">
      <w:pPr>
        <w:rPr>
          <w:sz w:val="22"/>
          <w:szCs w:val="22"/>
        </w:rPr>
      </w:pPr>
      <w:r w:rsidRPr="00BC45A1">
        <w:rPr>
          <w:sz w:val="22"/>
          <w:szCs w:val="22"/>
        </w:rPr>
        <w:t>Sincerely,</w:t>
      </w:r>
    </w:p>
    <w:p w:rsidR="00703023" w:rsidRPr="00BC45A1" w:rsidRDefault="00703023" w:rsidP="00703023">
      <w:pPr>
        <w:rPr>
          <w:sz w:val="22"/>
          <w:szCs w:val="22"/>
        </w:rPr>
      </w:pPr>
    </w:p>
    <w:p w:rsidR="00703023" w:rsidRPr="00BC45A1" w:rsidRDefault="00703023" w:rsidP="00703023">
      <w:pPr>
        <w:rPr>
          <w:sz w:val="22"/>
          <w:szCs w:val="22"/>
        </w:rPr>
      </w:pPr>
    </w:p>
    <w:p w:rsidR="00AF5308" w:rsidRPr="00BC45A1" w:rsidRDefault="00AF5308" w:rsidP="00703023">
      <w:pPr>
        <w:rPr>
          <w:sz w:val="22"/>
          <w:szCs w:val="22"/>
        </w:rPr>
      </w:pPr>
      <w:r w:rsidRPr="00BC45A1">
        <w:rPr>
          <w:sz w:val="22"/>
          <w:szCs w:val="22"/>
        </w:rPr>
        <w:t>Dr. Johnny Freeman</w:t>
      </w:r>
    </w:p>
    <w:p w:rsidR="00703023" w:rsidRPr="00BC45A1" w:rsidRDefault="00703023" w:rsidP="00703023">
      <w:pPr>
        <w:rPr>
          <w:sz w:val="22"/>
          <w:szCs w:val="22"/>
        </w:rPr>
      </w:pPr>
      <w:r w:rsidRPr="00BC45A1">
        <w:rPr>
          <w:sz w:val="22"/>
          <w:szCs w:val="22"/>
        </w:rPr>
        <w:t>Principal</w:t>
      </w:r>
    </w:p>
    <w:p w:rsidR="0080015C" w:rsidRPr="00BC45A1" w:rsidRDefault="0080015C" w:rsidP="006B3C09">
      <w:pPr>
        <w:tabs>
          <w:tab w:val="left" w:pos="3057"/>
        </w:tabs>
        <w:rPr>
          <w:sz w:val="22"/>
          <w:szCs w:val="22"/>
        </w:rPr>
      </w:pPr>
    </w:p>
    <w:sectPr w:rsidR="0080015C" w:rsidRPr="00BC45A1" w:rsidSect="005043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B5" w:rsidRDefault="006265B5" w:rsidP="00417E66">
      <w:r>
        <w:separator/>
      </w:r>
    </w:p>
  </w:endnote>
  <w:endnote w:type="continuationSeparator" w:id="0">
    <w:p w:rsidR="006265B5" w:rsidRDefault="006265B5"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C4" w:rsidRDefault="00DE0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C0" w:rsidRDefault="00AF41C0" w:rsidP="005043BA">
    <w:pPr>
      <w:pStyle w:val="Footer"/>
      <w:jc w:val="center"/>
      <w:rPr>
        <w:sz w:val="20"/>
        <w:szCs w:val="16"/>
      </w:rPr>
    </w:pPr>
    <w:r w:rsidRPr="00AD7E2E">
      <w:rPr>
        <w:sz w:val="20"/>
        <w:szCs w:val="16"/>
      </w:rPr>
      <w:t>Georgia Department of Education</w:t>
    </w:r>
  </w:p>
  <w:p w:rsidR="00AF41C0" w:rsidRDefault="00AF41C0" w:rsidP="005043BA">
    <w:pPr>
      <w:jc w:val="center"/>
      <w:rPr>
        <w:sz w:val="20"/>
        <w:szCs w:val="16"/>
      </w:rPr>
    </w:pPr>
    <w:r>
      <w:rPr>
        <w:sz w:val="20"/>
        <w:szCs w:val="16"/>
      </w:rPr>
      <w:t xml:space="preserve">Revised July 2015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C4" w:rsidRDefault="00DE0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B5" w:rsidRDefault="006265B5" w:rsidP="00417E66">
      <w:r>
        <w:separator/>
      </w:r>
    </w:p>
  </w:footnote>
  <w:footnote w:type="continuationSeparator" w:id="0">
    <w:p w:rsidR="006265B5" w:rsidRDefault="006265B5"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C4" w:rsidRDefault="00DE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C4" w:rsidRDefault="00DE09C4" w:rsidP="00DE09C4">
    <w:pPr>
      <w:pStyle w:val="Header"/>
      <w:jc w:val="center"/>
      <w:rPr>
        <w:b/>
      </w:rPr>
    </w:pPr>
    <w:r>
      <w:rPr>
        <w:rFonts w:ascii="Verdana" w:hAnsi="Verdana"/>
        <w:noProof/>
        <w:color w:val="015289"/>
        <w:sz w:val="16"/>
        <w:szCs w:val="16"/>
      </w:rPr>
      <w:drawing>
        <wp:inline distT="0" distB="0" distL="0" distR="0" wp14:anchorId="76447F8C" wp14:editId="3CDE0509">
          <wp:extent cx="1076325" cy="962499"/>
          <wp:effectExtent l="0" t="0" r="0" b="9525"/>
          <wp:docPr id="1" name="Picture 1" descr="https://www.muscogee.k12.ga.us/Style%20Library/MCSD_Images/MCSD_MasterHeader_SealOnl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scogee.k12.ga.us/Style%20Library/MCSD_Images/MCSD_MasterHeader_SealOnly.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499"/>
                  </a:xfrm>
                  <a:prstGeom prst="rect">
                    <a:avLst/>
                  </a:prstGeom>
                  <a:noFill/>
                  <a:ln>
                    <a:noFill/>
                  </a:ln>
                </pic:spPr>
              </pic:pic>
            </a:graphicData>
          </a:graphic>
        </wp:inline>
      </w:drawing>
    </w:r>
  </w:p>
  <w:p w:rsidR="00DE09C4" w:rsidRDefault="00DE09C4" w:rsidP="00DE09C4">
    <w:pPr>
      <w:pStyle w:val="Header"/>
      <w:jc w:val="center"/>
      <w:rPr>
        <w:b/>
      </w:rPr>
    </w:pPr>
    <w:r>
      <w:rPr>
        <w:b/>
      </w:rPr>
      <w:t>Muscogee County School District</w:t>
    </w:r>
  </w:p>
  <w:p w:rsidR="00DE09C4" w:rsidRDefault="00DE09C4" w:rsidP="00DE09C4">
    <w:pPr>
      <w:pStyle w:val="Header"/>
      <w:jc w:val="center"/>
      <w:rPr>
        <w:b/>
      </w:rPr>
    </w:pPr>
    <w:r>
      <w:rPr>
        <w:b/>
      </w:rPr>
      <w:t>2960 Macon Road</w:t>
    </w:r>
  </w:p>
  <w:p w:rsidR="00DE09C4" w:rsidRPr="00DE09C4" w:rsidRDefault="00DE09C4" w:rsidP="00DE09C4">
    <w:pPr>
      <w:pStyle w:val="Header"/>
      <w:jc w:val="center"/>
      <w:rPr>
        <w:b/>
      </w:rPr>
    </w:pPr>
    <w:r>
      <w:rPr>
        <w:b/>
      </w:rPr>
      <w:t>Columbus, Georgia 31906</w:t>
    </w:r>
  </w:p>
  <w:p w:rsidR="00AF41C0" w:rsidRDefault="00AF4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C4" w:rsidRDefault="00D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09"/>
    <w:rsid w:val="000266EC"/>
    <w:rsid w:val="000431A0"/>
    <w:rsid w:val="00097ED3"/>
    <w:rsid w:val="000E13CE"/>
    <w:rsid w:val="0010034D"/>
    <w:rsid w:val="001416E9"/>
    <w:rsid w:val="00184E35"/>
    <w:rsid w:val="00237502"/>
    <w:rsid w:val="00244518"/>
    <w:rsid w:val="002778F8"/>
    <w:rsid w:val="002C3DEB"/>
    <w:rsid w:val="002D03B0"/>
    <w:rsid w:val="00305467"/>
    <w:rsid w:val="00316BE1"/>
    <w:rsid w:val="003255C9"/>
    <w:rsid w:val="00337D73"/>
    <w:rsid w:val="00376DDC"/>
    <w:rsid w:val="003B2CAA"/>
    <w:rsid w:val="003B351B"/>
    <w:rsid w:val="003D67AA"/>
    <w:rsid w:val="00417E66"/>
    <w:rsid w:val="004B33D8"/>
    <w:rsid w:val="004B7FD6"/>
    <w:rsid w:val="004D3CA9"/>
    <w:rsid w:val="004E0172"/>
    <w:rsid w:val="005043BA"/>
    <w:rsid w:val="00564A29"/>
    <w:rsid w:val="005979DA"/>
    <w:rsid w:val="005A608D"/>
    <w:rsid w:val="005C2BA5"/>
    <w:rsid w:val="005C3DF9"/>
    <w:rsid w:val="006265B5"/>
    <w:rsid w:val="00633807"/>
    <w:rsid w:val="00646952"/>
    <w:rsid w:val="00675C40"/>
    <w:rsid w:val="0068287F"/>
    <w:rsid w:val="00686B59"/>
    <w:rsid w:val="006B3C09"/>
    <w:rsid w:val="006D10FB"/>
    <w:rsid w:val="006E6A1E"/>
    <w:rsid w:val="00703023"/>
    <w:rsid w:val="0072228E"/>
    <w:rsid w:val="007E6AE1"/>
    <w:rsid w:val="0080015C"/>
    <w:rsid w:val="00800F54"/>
    <w:rsid w:val="008D2772"/>
    <w:rsid w:val="008E0EF7"/>
    <w:rsid w:val="009153E6"/>
    <w:rsid w:val="00935CC0"/>
    <w:rsid w:val="009638BF"/>
    <w:rsid w:val="00A22E0E"/>
    <w:rsid w:val="00A459B6"/>
    <w:rsid w:val="00A74AE5"/>
    <w:rsid w:val="00A82C3C"/>
    <w:rsid w:val="00AA3069"/>
    <w:rsid w:val="00AD7E2E"/>
    <w:rsid w:val="00AE7A9B"/>
    <w:rsid w:val="00AF41C0"/>
    <w:rsid w:val="00AF5308"/>
    <w:rsid w:val="00AF5928"/>
    <w:rsid w:val="00B67909"/>
    <w:rsid w:val="00B97376"/>
    <w:rsid w:val="00BC45A1"/>
    <w:rsid w:val="00BD148A"/>
    <w:rsid w:val="00BE7F51"/>
    <w:rsid w:val="00C80C7E"/>
    <w:rsid w:val="00CA327E"/>
    <w:rsid w:val="00CF0488"/>
    <w:rsid w:val="00D559C9"/>
    <w:rsid w:val="00D621BF"/>
    <w:rsid w:val="00D76700"/>
    <w:rsid w:val="00DC69D4"/>
    <w:rsid w:val="00DE09C4"/>
    <w:rsid w:val="00E430CC"/>
    <w:rsid w:val="00E500E3"/>
    <w:rsid w:val="00E50EF1"/>
    <w:rsid w:val="00E92CD9"/>
    <w:rsid w:val="00EC5C02"/>
    <w:rsid w:val="00EF2406"/>
    <w:rsid w:val="00F64139"/>
    <w:rsid w:val="00FD046A"/>
    <w:rsid w:val="00FE13A0"/>
    <w:rsid w:val="00FE1C96"/>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022E0-1D0C-4375-A096-E6F516B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table" w:styleId="TableGrid">
    <w:name w:val="Table Grid"/>
    <w:basedOn w:val="TableNormal"/>
    <w:uiPriority w:val="59"/>
    <w:rsid w:val="00675C4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91533272">
      <w:bodyDiv w:val="1"/>
      <w:marLeft w:val="0"/>
      <w:marRight w:val="0"/>
      <w:marTop w:val="0"/>
      <w:marBottom w:val="0"/>
      <w:divBdr>
        <w:top w:val="none" w:sz="0" w:space="0" w:color="auto"/>
        <w:left w:val="none" w:sz="0" w:space="0" w:color="auto"/>
        <w:bottom w:val="none" w:sz="0" w:space="0" w:color="auto"/>
        <w:right w:val="none" w:sz="0" w:space="0" w:color="auto"/>
      </w:divBdr>
    </w:div>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132061904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muscogee.k12.ga.us/Pages/MCSD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4E2FFB0-9E02-4D7D-87CD-26A7834C75E4}">
  <ds:schemaRefs>
    <ds:schemaRef ds:uri="http://schemas.microsoft.com/sharepoint/v3/contenttype/forms"/>
  </ds:schemaRefs>
</ds:datastoreItem>
</file>

<file path=customXml/itemProps2.xml><?xml version="1.0" encoding="utf-8"?>
<ds:datastoreItem xmlns:ds="http://schemas.openxmlformats.org/officeDocument/2006/customXml" ds:itemID="{C0DAB8C1-4D4F-4323-8622-C115D2FF8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F7DC9-2283-4722-9099-AC502D89753A}">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44D539D2-9FCF-407D-9B19-D05419AB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Winston Lydia</cp:lastModifiedBy>
  <cp:revision>2</cp:revision>
  <cp:lastPrinted>2015-07-28T19:26:00Z</cp:lastPrinted>
  <dcterms:created xsi:type="dcterms:W3CDTF">2017-02-16T12:22:00Z</dcterms:created>
  <dcterms:modified xsi:type="dcterms:W3CDTF">2017-02-16T12:22:00Z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